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180</w:t>
      </w:r>
    </w:p>
    <w:p>
      <w:r>
        <w:t>Bundesgericht (BGE), 2008-01-11, FR</w:t>
      </w:r>
    </w:p>
    <w:p>
      <w:r>
        <w:rPr>
          <w:b/>
        </w:rPr>
        <w:t xml:space="preserve">Quelle: </w:t>
      </w:r>
      <w:r>
        <w:t>https://mcp.opencaselaw.ch/entscheid/bge_135 IV 180</w:t>
      </w:r>
    </w:p>
    <w:p>
      <w:r>
        <w:t>FR: ATF 135 IV 180</w:t>
      </w:r>
    </w:p>
    <w:p>
      <w:r>
        <w:t>IT: DTF 135 IV 180</w:t>
      </w:r>
    </w:p>
    <w:p>
      <w:pPr>
        <w:pStyle w:val="Heading2"/>
      </w:pPr>
      <w:r>
        <w:t>Regeste</w:t>
      </w:r>
    </w:p>
    <w:p>
      <w:r>
        <w:t>Regeste a Bemessung der Geldstrafe; Höhe des Tagessatzes; Art. 34 Abs. 2 und Art. 380 StGB. Wurde gegen die zu einer Geldstrafe verurteilte Person eine Massnahme angeordnet, muss für die Berechnung ihres Reineinkommens festgelegt werden, ob die Kosten derselben nach Art. 380 StGB zu ihren Lasten oder denjenigen des Kantons gehen (E. 1.3). Eine Geldstrafe ist nicht symbolisch, sofern der Tagessatz für mittellose Täter wenigstens 10 Franken beträgt (Präzisierung der Rechtsprechung; E. 1.4).</w:t>
      </w:r>
    </w:p>
    <w:p>
      <w:r>
        <w:t>Regeste b Bedingter Vollzug und stationäre therapeutische Massnahmen; Art. 42 Abs. 1 und Art. 59 StGB. Die Verurteilung zu einer stationären therapeutischen Massnahme schliesst die Gewährung des bedingten Vollzugs aus (E. 2).</w:t>
      </w:r>
    </w:p>
    <w:p>
      <w:pPr>
        <w:pStyle w:val="Heading2"/>
      </w:pPr>
      <w:r>
        <w:t>Erwägungen</w:t>
      </w:r>
    </w:p>
    <w:p>
      <w:r>
        <w:rPr>
          <w:b/>
        </w:rPr>
        <w:t>E. 1</w:t>
      </w:r>
    </w:p>
    <w:p>
      <w:r>
        <w:t>Le recourant ne conteste pas le principe de la peine pécuniaire, mais la quotité du jour-amende, qu'il juge insuffisante. Il reproche aussi à la cour cantonale d'avoir violé l' art. 50 CP , la motivation de l'arrêt entrepris ne permettant pas de comprendre quels critères ont présidé à la fixation du montant de 5 francs.</w:t>
      </w:r>
    </w:p>
    <w:p>
      <w:r>
        <w:rPr>
          <w:b/>
        </w:rPr>
        <w:t>E. 1.1</w:t>
      </w:r>
    </w:p>
    <w:p>
      <w:r>
        <w:t>Le Tribunal fédéral a exposé de manière détaillée les principes régissant la fixation de la peine pécuniaire, la quotité du jour-amende en particulier, dans l'arrêt publié aux ATF 134 IV 60 consid. 5 et 6 (voir également l'arrêt 6B_541/2007 du 13 mai 2008 consid. 6). On peut y renvoyer en soulignant les points suivants.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(arrêt précité consid. 6.4.1). Il en va ainsi des obligations d'assistance pour autant que le condamné s'en acquitte BGE 135 IV 180 S. 182 effectivement. Des charges financières extraordinaires peuvent conduire à une réduction lorsqu'elles correspondent à des besoins financiers accrus résultant de la situation de l'auteur et indépendantes de sa volonté (consid. 6.4.4). Le revenu net ainsi défini en droit pénal est le point de départ pour fixer la quotité du jour-amende. Dans ce contexte, le minimum vital mentionné à l' 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 art. 35 al. 1 CP ) qui doivent permettre de pallier une charge excessive. Lorsque le nombre des jours-amende est considérable - en particulier au-delà de nonante jours-amende - une réduction supplémentaire de 10 à 30 %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w:t>
      </w:r>
    </w:p>
    <w:p>
      <w:r>
        <w:rPr>
          <w:b/>
        </w:rPr>
        <w:t>E. 1.2</w:t>
      </w:r>
    </w:p>
    <w:p>
      <w:r>
        <w:t>En l'espèce, l'autorité cantonale a constaté que la condamnée percevait une rente de l'assurance-invalidité de 1500 francs par mois, ainsi que des prestations complémentaires, lesquelles prenaient en charge le solde de ses frais de placement. Elle disposait en outre de 240 francs d'argent de poche par mois, somme avec laquelle elle devait également payer ses vêtements. Sur la base de ces informations, la cour cantonale a fixé le jour-amende à 5 francs.</w:t>
      </w:r>
    </w:p>
    <w:p>
      <w:r>
        <w:rPr>
          <w:b/>
        </w:rPr>
        <w:t>E. 1.3</w:t>
      </w:r>
    </w:p>
    <w:p>
      <w:r>
        <w:t>La première question qui se pose est celle de savoir si, dans le calcul du revenu net, les frais de placement de l'intimée doivent être portés en déduction des rentes et prestations complémentaires qu'elle perçoit, comme l'a implicitement jugé la cour cantonale.</w:t>
      </w:r>
    </w:p>
    <w:p>
      <w:r>
        <w:rPr>
          <w:b/>
        </w:rPr>
        <w:t>E. 1.3.1</w:t>
      </w:r>
    </w:p>
    <w:p>
      <w:r>
        <w:t>Selon les constatations de fait de l'arrêt entrepris, le placement de l'intimée en EMS est justifié par les affections psychiques dont elle souffre. Bien que sous cet angle ces frais de placement BGE 135 IV 180 S. 183 puissent être appréhendés comme des charges spécifiques résultant de la situation de l'auteur, les constatations de l'arrêt cantonal ne permettent pas d'examiner si celles-là sont réellement indépendantes de la volonté de l'intimée.</w:t>
      </w:r>
    </w:p>
    <w:p>
      <w:r>
        <w:rPr>
          <w:b/>
        </w:rPr>
        <w:t>E. 1.3.2</w:t>
      </w:r>
    </w:p>
    <w:p>
      <w:r>
        <w:t>A cet égard, il convient de relever que l'hospitalisation de l'intimée a été prononcée en application de l'ancien art. 43 ch. 1 al. 1 CP par un arrêt du Tribunal d'accusation du canton de Vaud du 23 mai 2000. De plus, par décision du 9 mai 2007, l'Office d'exécution des peines a sommé l'intéressée de rester dans le lieu de vie désigné par l'Office du Tuteur général, ce qui suggère que la mesure en cause était toujours en vigueur. Ce point trouve en outre appui dans les pièces du dossier (cf. art. 105 al. 2 LTF ), dont il ressort que selon un arrêt du 31 août 2006, le Tribunal d'accusation du canton de Vaud a maintenu la mesure ordonnée le 23 mai 2000. Il s'ensuit que le placement de l'intimée constitue une mesure au sens de l'ancien art. 43 al. 1 ch. 1 CP qui, depuis le 1 er janvier 2007, est exécutée conformément aux dispositions du nouveau droit (ch. 2 al. 1 des dispositions finales de la modification du 13 décembre 2002 du Code pénal suisse). Or, conformément à l' art. 380 CP , en vigueur depuis le 1 er janvier 2007, les frais d'exécution des peines et des mesures sont à la charge des cantons (al. 1). Le condamné est astreint à participer aux frais de l'exécution dans une mesure appropriée: par compensation de ceux-ci avec les prestations de travail dans l'établissement d'exécution des peines et des mesures (al. 2 let. a); proportionnellement à son revenu et à sa fortune, s'il refuse d'exécuter le travail qui lui est attribué, bien qu'il satisfasse aux exigences des art. 81 ou 90 al. 3 (al. 2 let. b) CP; par imputation d'une partie du gain qu'il réalise par une activité dans le cadre de la semi-détention, du travail externe ou du travail et logement externe (al. 2 let. b). Les cantons édictent des dispositions afin de préciser les modalités de la participation du condamné aux frais. En l'espèce, on ignore concrètement si le canton de Vaud a fait usage de cette délégation de compétence. On ignore de même si l'intéressée est susceptible d'être astreinte à un travail au sens de l' art. 380 al. 2 let. b CP , si les travaux effectués en atelier de reliure jusqu'à l'automne 2007 constituent une telle activité, partant si et dans quelle mesure une part des frais en cause doit effectivement être laissée à sa charge ou s'il faut admettre que la prise en compte de ces frais n'est pas entièrement indépendante de sa volonté. Il n'est BGE 135 IV 180 S. 184 dès lors pas possible de déterminer précisément le revenu net de l'intimée. L'arrêt entrepris viole le droit fédéral sur ce point.</w:t>
      </w:r>
    </w:p>
    <w:p>
      <w:r>
        <w:rPr>
          <w:b/>
        </w:rPr>
        <w:t>E. 1.4</w:t>
      </w:r>
    </w:p>
    <w:p>
      <w:r>
        <w:t>Il convient ensuite de rappeler que même pour les condamnés vivant au seuil ou au-dessous du minimum vital, le montant du jour-amende ne doit pas être réduit à une valeur symbolique au risque que la peine pécuniaire, que le législateur a placée sur pied d'égalité avec la peine privative de liberté, perde toute signification ( ATF 134 IV 60 consid. 6.5.2 p. 72). Cet arrêt ne spécifie cependant pas ce qu'il faut entendre par une valeur symbolique, respectivement par une peine ayant une signification en comparaison d'une peine privative de liberté. Il y a lieu d'examiner cette question dans le cas d'espèce.</w:t>
      </w:r>
    </w:p>
    <w:p>
      <w:r>
        <w:rPr>
          <w:b/>
        </w:rPr>
        <w:t>E. 1.4.1</w:t>
      </w:r>
    </w:p>
    <w:p>
      <w:r>
        <w:t>La privation de liberté résultant d'une sanction ne peut, par un simple processus de conversion, être comparée à la restriction apportée au standard de vie ainsi qu'aux possibilités de consommation, qui constitue l'essence de la peine pécuniaire (cf. ATF 134 IV 97 consid. 5.2.3 p. 104). Il est donc vain de chercher, dans une démarche comptable, à chiffrer la valeur d'un jour de privation de liberté. Il n'en demeure pas moins que les restrictions d'ordre matériel imposées par la peine pécuniaire, doivent, pour pouvoir être placées sur pied d'égalité avec les effets d'une peine privative de liberté, être tout au moins sensibles. Un tel résultat ne peut être atteint lorsque le montant du jour-amende n'excède pas quelques francs. La peine apparaît alors d'emblée symbolique. Quelle que soit la situation économique du condamné, l'exécution d'une peine aussi minime n'est pas susceptible d'influencer concrètement et de manière sensible son standard de vie et ses possibilités de consommation. Le cas présent, dans lequel le jour-amende, fixé à cinq francs, ne prive en définitive l'intéressée que d'une part de l'argent de poche dont elle dispose pour se vêtir et se divertir (la couverture de ses besoins vitaux étant, par ailleurs, assurée), illustre parfaitement cette problématique.</w:t>
      </w:r>
    </w:p>
    <w:p>
      <w:r>
        <w:rPr>
          <w:b/>
        </w:rPr>
        <w:t>E. 1.4.2</w:t>
      </w:r>
    </w:p>
    <w:p>
      <w:r>
        <w:t>On ne peut cependant méconnaître non plus que, dans la fourchette des peines dans laquelle entre en considération la peine pécuniaire, soit jusqu'à trois cent soixante jours, l'exécution des peines privatives de liberté correspondantes n'aboutit, en règle générale, qu'à une privation partielle de la liberté (notamment en cas d'exécution sous forme de semi-détention [ art. 77 bis CP ] ou d'arrêts domiciliaires sous surveillance électronique pour les cantons qui BGE 135 IV 180 S. 185 connaissent cette institution) et n'entraîne pas non plus, sur le plan économique, les conséquences d'une privation de liberté complète (notamment la perte du revenu d'une activité lucrative ou la suspension des prestations d'assurances sociales qui le remplaçaient [cf. art. 21 al. 5 LPGA [RS 830.1]; en matière de prévoyance professionnelle: voir UELI KIESER, ATSG-Kommentar, 2 e éd. 2009, n° 107 ad art. 21 LPGA ). Pour cette raison, et afin de conserver une juste proportion entre les différents types de sanctions, les exigences permettant de considérer qu'une peine pécuniaire n'est pas symbolique ne doivent pas être excessivement sévères non plus. Tel n'est plus le cas lorsque le montant du jour-amende atteint la somme de dix francs, en ce qui concerne les auteurs les plus démunis. L'arrêt publié aux ATF 134 IV 60 consid. 6.5.2 p. 72, doit être précisé en ce sens.</w:t>
      </w:r>
    </w:p>
    <w:p>
      <w:r>
        <w:rPr>
          <w:b/>
        </w:rPr>
        <w:t>E. 1.4.3</w:t>
      </w:r>
    </w:p>
    <w:p>
      <w:r>
        <w:t>Il s'ensuit qu'au montant de 5 francs par jour, la quotité du jour-amende arrêtée dans la décision entreprise n'est pas conforme, sous cet angle non plus, aux exigences du droit fédéral.</w:t>
      </w:r>
    </w:p>
    <w:p>
      <w:r>
        <w:rPr>
          <w:b/>
        </w:rPr>
        <w:t>E. 2</w:t>
      </w:r>
    </w:p>
    <w:p>
      <w:r>
        <w:t>et 34 ad art. 63 CP ; voir aussi KILLIAS ET AL., Précis de droit pénal général, 3 e éd. 2008, n° 1506 et la note de pied 20 p. 264, qui proposent de se référer à l'art. 12 al. 1 de l'ordonnance du 19 septembre 2006 relative au code pénal et au code pénal militaire [O-CP-CPM; RS 311.01], sans exclure non plus l'exécution simultanée de la peine pécuniaire et de la mesure). Quoi qu'il en soit, sous l'empire des anciennes dispositions générales du Code pénal, il était de jurisprudence constante que l'octroi du sursis (ancien art. 41 CP ) n'entrait pas en considération si une mesure de sûreté était ordonnée en application des anciens art. 43 ou 44 CP . Comme le prononcé d'une mesure supposait nécessairement l'existence d'un risque de récidive, il était en effet impossible d'appliquer ces dispositions tout en posant un pronostic favorable permettant l'octroi du sursis (cf. STEFAN TRECHSEL, Schweizerisches Strafgesetzbuch [...], Kurzkommentar, 2 e éd. 1997, n° 11 ad art. 41 CP ). Il n'en va pas différemment en application du nouveau droit. Conformément à l' art. 59 al. 1 let. b CP (qui reprend le principe exprimé par l' art. 56 al. 1 let. a CP ) une mesure thérapeutique institutionnelle telle que celle ordonnée en l'espèce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(SCHWARZENEGGER ET AL., Strafen und Massnahmen, 8 e éd. 2007, § 6 n. 2.21 p. 132; MARIANNE HEER, op. cit., n° 118 ad art. 59 CP ; voir aussi l'arrêt 6B_268/2008 du 2 mars 2009 consid. 6). Par conséquent, le prononcé d'une mesure excluait l'octroi du sursis à l'intimée.</w:t>
      </w:r>
    </w:p>
    <w:p>
      <w:r>
        <w:rPr>
          <w:b/>
        </w:rPr>
        <w:t>E. 2.1</w:t>
      </w:r>
    </w:p>
    <w:p>
      <w:r>
        <w:t>Selon le nouvel article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Si, durant les cinq ans qui précèdent l'infraction, l'auteur a été condamné à une peine privative de liberté ferme ou avec sursis de six mois au moins ou à une peine pécuniaire de cent quatre-vingt jours-amende au moins, il ne peut y avoir de sursis à l'exécution de la peine qu'en cas de circonstances particulièrement favorables (al. 2). L'octroi du sursis peut également être refusé lorsque l'auteur a omis de réparer le dommage comme on pouvait raisonnablement l'attendre de lui (al. 3). Le juge peut prononcer, en plus du sursis, une peine pécuniaire sans sursis ou une amende selon l' art. 106 CP (al. 4).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BGE 135 IV 180 S. 186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tenu compte de tous les éléments pertinents et comment ils ont été appréciés (cf. ATF 134 IV 5 consid. 4.2.1; ATF 128 IV 193 consid. 3a; ATF 118 IV 97 consid. 2b).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(cf. ATF 134 IV 5 consid. 4.4.2).</w:t>
      </w:r>
    </w:p>
    <w:p>
      <w:r>
        <w:rPr>
          <w:b/>
        </w:rPr>
        <w:t>E. 2.2</w:t>
      </w:r>
    </w:p>
    <w:p>
      <w:r>
        <w:t>Pour toute motivation, le Tribunal de première instance a exposé qu'un pronostic favorable pouvait être posé "en l'état actuel", les conditions objectives étant, par ailleurs, réalisées. Quant à la cour cantonale, elle a confirmé cette appréciation en relevant en substance, en réponse aux griefs du recourant, que les infractions commises par l'intimée dès avril 2006 ne suffisaient pas à justifier un pronostic défavorable. Les infractions antérieures, commises à une époque où l'irresponsabilité pénale de l'intimée était totale ne pouvaient être prises en considération dans le pronostic. Il ressortait d'un rapport d'expertise du 21 décembre 2007 que l'intimée avait complètement rompu avec ses comportements toxicomaniaques. Elle était tout à fait compliante à ses traitements, tant médicamenteux que psychothérapeutique et éducatif. Elle était bien insérée dans son foyer et une peine de prison aurait menacé l'équilibre atteint. Elle rencontrait régulièrement ses enfants, placés dans une famille d'accueil, avec laquelle elle entretenait de bons contacts et le tribunal de première instance avait de surcroît relevé sa prise de conscience. L'ensemble de ces éléments ne permettait pas de motiver un pronostic défavorable.</w:t>
      </w:r>
    </w:p>
    <w:p>
      <w:r>
        <w:rPr>
          <w:b/>
        </w:rPr>
        <w:t>E. 2.3</w:t>
      </w:r>
    </w:p>
    <w:p>
      <w:r>
        <w:t>En l'espèce, non seulement le sursis a été octroyé, mais une mesure institutionnelle au sens de l' art. 59 CP ordonnée. La décision entreprise va même plus loin. Il résulte de son dispositif, qui ne réforme pas le chiffre II de celui de la décision de première instance, que cette mesure doit suspendre l'exécution de la peine pécuniaire prononcée en deuxième instance. Faute de conclusions, ce point ne fait pas l'objet du recours du Ministère public. Il n'est donc BGE 135 IV 180 S. 187 pas nécessaire d'examiner si une telle suspension est conforme au droit fédéral, ce qui est douteux au regard de la formulation de l' art. 57 al. 2 CP , qui ne vise que les peines privatives de liberté (voir en ce sens GÜNTER STRATENWERTH, Strafen und Massnahmen, 2 e éd. 2006, § 9 n. 33; MARIANNE HEER, in: Basler Kommentar, Strafrecht, vol. I, 2 e éd. 2007, n° 6 ad art. 57 CP et n 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